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38982" w14:textId="22B9BE23" w:rsidR="007A4A1F" w:rsidRPr="007A4A1F" w:rsidRDefault="007A4A1F" w:rsidP="007A4A1F">
      <w:pPr>
        <w:ind w:left="720"/>
        <w:jc w:val="center"/>
        <w:rPr>
          <w:i/>
          <w:iCs/>
        </w:rPr>
      </w:pPr>
      <w:r w:rsidRPr="007A4A1F">
        <w:rPr>
          <w:i/>
          <w:iCs/>
        </w:rPr>
        <w:t xml:space="preserve">Comments and Recommendations from the Arts and Humanities 1 Subcommittee on </w:t>
      </w:r>
      <w:r w:rsidRPr="007A4A1F">
        <w:rPr>
          <w:i/>
          <w:iCs/>
        </w:rPr>
        <w:t xml:space="preserve">History of Art &amp; AFAMAST 2009 </w:t>
      </w:r>
      <w:r>
        <w:rPr>
          <w:i/>
          <w:iCs/>
        </w:rPr>
        <w:t>on August 20</w:t>
      </w:r>
      <w:r w:rsidRPr="007A4A1F">
        <w:rPr>
          <w:i/>
          <w:iCs/>
          <w:vertAlign w:val="superscript"/>
        </w:rPr>
        <w:t>th</w:t>
      </w:r>
      <w:r>
        <w:rPr>
          <w:i/>
          <w:iCs/>
        </w:rPr>
        <w:t xml:space="preserve">, 2024 </w:t>
      </w:r>
      <w:r w:rsidRPr="007A4A1F">
        <w:rPr>
          <w:i/>
          <w:iCs/>
        </w:rPr>
        <w:t>(DRAFT)</w:t>
      </w:r>
    </w:p>
    <w:p w14:paraId="0DEEE5EB" w14:textId="77777777" w:rsidR="007A4A1F" w:rsidRPr="007A4A1F" w:rsidRDefault="007A4A1F" w:rsidP="007A4A1F">
      <w:pPr>
        <w:numPr>
          <w:ilvl w:val="1"/>
          <w:numId w:val="1"/>
        </w:numPr>
      </w:pPr>
      <w:r w:rsidRPr="007A4A1F">
        <w:t>Comment: The Subcommittee observes that the grading scales in the syllabi do not include the mark of D+ and wants to ensure that this was done intentionally and is not an oversight. Additionally, the Subcommittee offers the friendly advice to the departments to consider formatting the grading scales in a more reader friendly manner, perhaps by using only one column with the appropriate number of rows. [Syllabi p. 10]</w:t>
      </w:r>
    </w:p>
    <w:p w14:paraId="20F729DC" w14:textId="77777777" w:rsidR="007A4A1F" w:rsidRPr="007A4A1F" w:rsidRDefault="007A4A1F" w:rsidP="007A4A1F">
      <w:pPr>
        <w:numPr>
          <w:ilvl w:val="1"/>
          <w:numId w:val="1"/>
        </w:numPr>
      </w:pPr>
      <w:r w:rsidRPr="007A4A1F">
        <w:t>Comment: The Subcommittee notes that the use of the term “unit” in the course calendar might be confusing to students as oftentimes syllabi use the word “unit” to mean a part of a course that is focused on a specific topic. The Subcommittee simply offers the suggestion to consider the term “week” instead of “unit” in the calendar to prevent possible confusion among students. [Syllabi pp. 14-19]</w:t>
      </w:r>
    </w:p>
    <w:p w14:paraId="450DAD52" w14:textId="77777777" w:rsidR="007A4A1F" w:rsidRPr="007A4A1F" w:rsidRDefault="007A4A1F" w:rsidP="007A4A1F">
      <w:pPr>
        <w:numPr>
          <w:ilvl w:val="1"/>
          <w:numId w:val="1"/>
        </w:numPr>
      </w:pPr>
      <w:r w:rsidRPr="007A4A1F">
        <w:rPr>
          <w:i/>
          <w:iCs/>
        </w:rPr>
        <w:t>Recommendation</w:t>
      </w:r>
      <w:r w:rsidRPr="007A4A1F">
        <w:t xml:space="preserve">: The Subcommittee asks that the department adjust the AFAMAST syllabus to reflect the proper department listing, as the course is referred to as History of Art 2009 at the beginning of the syllabus on page 1. </w:t>
      </w:r>
    </w:p>
    <w:p w14:paraId="38BEF8CF" w14:textId="77777777" w:rsidR="007A4A1F" w:rsidRPr="007A4A1F" w:rsidRDefault="007A4A1F" w:rsidP="007A4A1F">
      <w:pPr>
        <w:numPr>
          <w:ilvl w:val="1"/>
          <w:numId w:val="1"/>
        </w:numPr>
      </w:pPr>
      <w:r w:rsidRPr="007A4A1F">
        <w:rPr>
          <w:i/>
          <w:iCs/>
        </w:rPr>
        <w:t>Recommendation</w:t>
      </w:r>
      <w:r w:rsidRPr="007A4A1F">
        <w:t xml:space="preserve">: The Subcommittee recommends that the units alter or remove part of the following contradictory text in the syllabi </w:t>
      </w:r>
      <w:proofErr w:type="gramStart"/>
      <w:r w:rsidRPr="007A4A1F">
        <w:t>in order to</w:t>
      </w:r>
      <w:proofErr w:type="gramEnd"/>
      <w:r w:rsidRPr="007A4A1F">
        <w:t xml:space="preserve"> offer more clarity to students regarding expectations: </w:t>
      </w:r>
    </w:p>
    <w:p w14:paraId="115BE4C2" w14:textId="77777777" w:rsidR="007A4A1F" w:rsidRPr="007A4A1F" w:rsidRDefault="007A4A1F" w:rsidP="007A4A1F">
      <w:pPr>
        <w:numPr>
          <w:ilvl w:val="2"/>
          <w:numId w:val="1"/>
        </w:numPr>
      </w:pPr>
      <w:r w:rsidRPr="007A4A1F">
        <w:t>In the description of the annotated bibliography assignments, it is stated initially that students will choose 15 readings from the course and 5 readings from outside the course for their entries. However, towards the end of the description, it is stated that students will write a total of 30 entries – 12 from weeks 1-7 and 18 from weeks 7-13 – which is not only a different number of entries but also does not seem to include any out-of-class sources as previously mentioned. [Syllabi pp. 8-9]</w:t>
      </w:r>
    </w:p>
    <w:p w14:paraId="0D63ABDD" w14:textId="77777777" w:rsidR="007A4A1F" w:rsidRPr="007A4A1F" w:rsidRDefault="007A4A1F" w:rsidP="007A4A1F">
      <w:pPr>
        <w:numPr>
          <w:ilvl w:val="2"/>
          <w:numId w:val="1"/>
        </w:numPr>
      </w:pPr>
      <w:r w:rsidRPr="007A4A1F">
        <w:t xml:space="preserve">The sections concerning late work state that late work will be accepted on a case-by-case basis and considered for full credit, while the following sentence states that students can receive </w:t>
      </w:r>
      <w:r w:rsidRPr="007A4A1F">
        <w:rPr>
          <w:i/>
          <w:iCs/>
        </w:rPr>
        <w:t>up to</w:t>
      </w:r>
      <w:r w:rsidRPr="007A4A1F">
        <w:t xml:space="preserve"> 75% of the total grade for late work. [Syllabi p. 10] </w:t>
      </w:r>
    </w:p>
    <w:p w14:paraId="43C4F867" w14:textId="77777777" w:rsidR="007A4A1F" w:rsidRPr="007A4A1F" w:rsidRDefault="007A4A1F" w:rsidP="007A4A1F">
      <w:pPr>
        <w:numPr>
          <w:ilvl w:val="1"/>
          <w:numId w:val="1"/>
        </w:numPr>
      </w:pPr>
      <w:r w:rsidRPr="007A4A1F">
        <w:rPr>
          <w:i/>
          <w:iCs/>
        </w:rPr>
        <w:t>Recommendation</w:t>
      </w:r>
      <w:r w:rsidRPr="007A4A1F">
        <w:t xml:space="preserve">: The Subcommittee notes that template language has been left in the syllabi and recommends that the departments remove this language. [Syllabi pp. 3, 9] </w:t>
      </w:r>
    </w:p>
    <w:p w14:paraId="767A6D51" w14:textId="77777777" w:rsidR="007A4A1F" w:rsidRPr="007A4A1F" w:rsidRDefault="007A4A1F" w:rsidP="007A4A1F">
      <w:pPr>
        <w:numPr>
          <w:ilvl w:val="1"/>
          <w:numId w:val="1"/>
        </w:numPr>
      </w:pPr>
      <w:r w:rsidRPr="007A4A1F">
        <w:rPr>
          <w:i/>
          <w:iCs/>
        </w:rPr>
        <w:t>Recommendation</w:t>
      </w:r>
      <w:r w:rsidRPr="007A4A1F">
        <w:t xml:space="preserve">: The Subcommittee recommends that the syllabi state that these courses are part of the </w:t>
      </w:r>
      <w:r w:rsidRPr="007A4A1F">
        <w:rPr>
          <w:i/>
          <w:iCs/>
        </w:rPr>
        <w:t>New</w:t>
      </w:r>
      <w:r w:rsidRPr="007A4A1F">
        <w:t xml:space="preserve"> General Education (GEN) curriculum in the language preceding the LVPA and REGD Goals and Expected Learning Outcomes. [Syllabi pp. 2-3]</w:t>
      </w:r>
    </w:p>
    <w:p w14:paraId="51C0BDD4" w14:textId="77777777" w:rsidR="007A4A1F" w:rsidRPr="007A4A1F" w:rsidRDefault="007A4A1F" w:rsidP="007A4A1F">
      <w:pPr>
        <w:numPr>
          <w:ilvl w:val="1"/>
          <w:numId w:val="1"/>
        </w:numPr>
      </w:pPr>
      <w:r w:rsidRPr="007A4A1F">
        <w:rPr>
          <w:i/>
          <w:iCs/>
        </w:rPr>
        <w:t>Recommendation</w:t>
      </w:r>
      <w:r w:rsidRPr="007A4A1F">
        <w:t xml:space="preserve">: The Subcommittee recommends that the department use the most recent version of the Student Life Disability Services Statement in the syllabi, </w:t>
      </w:r>
      <w:r w:rsidRPr="007A4A1F">
        <w:lastRenderedPageBreak/>
        <w:t xml:space="preserve">which was updated in May 2024. The updated statement can be found in an easy to copy/paste format on the </w:t>
      </w:r>
      <w:hyperlink r:id="rId5" w:history="1">
        <w:r w:rsidRPr="007A4A1F">
          <w:rPr>
            <w:rStyle w:val="Hyperlink"/>
          </w:rPr>
          <w:t>Arts and Sciences Curriculum and Assessment Services website</w:t>
        </w:r>
      </w:hyperlink>
      <w:r w:rsidRPr="007A4A1F">
        <w:t>. [Syllabi p. 12]</w:t>
      </w:r>
    </w:p>
    <w:p w14:paraId="486A544A" w14:textId="77777777" w:rsidR="002B08F2" w:rsidRDefault="002B08F2"/>
    <w:sectPr w:rsidR="002B0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4200E"/>
    <w:multiLevelType w:val="hybridMultilevel"/>
    <w:tmpl w:val="C8108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DAC07E7"/>
    <w:multiLevelType w:val="hybridMultilevel"/>
    <w:tmpl w:val="C4C2D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2494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776050">
    <w:abstractNumId w:val="0"/>
  </w:num>
  <w:num w:numId="3" w16cid:durableId="7216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1F"/>
    <w:rsid w:val="002B08F2"/>
    <w:rsid w:val="004A66B2"/>
    <w:rsid w:val="007A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5762"/>
  <w15:chartTrackingRefBased/>
  <w15:docId w15:val="{8A5E49DC-CBEA-43BB-8A8C-D34D0411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A1F"/>
    <w:rPr>
      <w:rFonts w:eastAsiaTheme="majorEastAsia" w:cstheme="majorBidi"/>
      <w:color w:val="272727" w:themeColor="text1" w:themeTint="D8"/>
    </w:rPr>
  </w:style>
  <w:style w:type="paragraph" w:styleId="Title">
    <w:name w:val="Title"/>
    <w:basedOn w:val="Normal"/>
    <w:next w:val="Normal"/>
    <w:link w:val="TitleChar"/>
    <w:uiPriority w:val="10"/>
    <w:qFormat/>
    <w:rsid w:val="007A4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A1F"/>
    <w:pPr>
      <w:spacing w:before="160"/>
      <w:jc w:val="center"/>
    </w:pPr>
    <w:rPr>
      <w:i/>
      <w:iCs/>
      <w:color w:val="404040" w:themeColor="text1" w:themeTint="BF"/>
    </w:rPr>
  </w:style>
  <w:style w:type="character" w:customStyle="1" w:styleId="QuoteChar">
    <w:name w:val="Quote Char"/>
    <w:basedOn w:val="DefaultParagraphFont"/>
    <w:link w:val="Quote"/>
    <w:uiPriority w:val="29"/>
    <w:rsid w:val="007A4A1F"/>
    <w:rPr>
      <w:i/>
      <w:iCs/>
      <w:color w:val="404040" w:themeColor="text1" w:themeTint="BF"/>
    </w:rPr>
  </w:style>
  <w:style w:type="paragraph" w:styleId="ListParagraph">
    <w:name w:val="List Paragraph"/>
    <w:basedOn w:val="Normal"/>
    <w:uiPriority w:val="34"/>
    <w:qFormat/>
    <w:rsid w:val="007A4A1F"/>
    <w:pPr>
      <w:ind w:left="720"/>
      <w:contextualSpacing/>
    </w:pPr>
  </w:style>
  <w:style w:type="character" w:styleId="IntenseEmphasis">
    <w:name w:val="Intense Emphasis"/>
    <w:basedOn w:val="DefaultParagraphFont"/>
    <w:uiPriority w:val="21"/>
    <w:qFormat/>
    <w:rsid w:val="007A4A1F"/>
    <w:rPr>
      <w:i/>
      <w:iCs/>
      <w:color w:val="0F4761" w:themeColor="accent1" w:themeShade="BF"/>
    </w:rPr>
  </w:style>
  <w:style w:type="paragraph" w:styleId="IntenseQuote">
    <w:name w:val="Intense Quote"/>
    <w:basedOn w:val="Normal"/>
    <w:next w:val="Normal"/>
    <w:link w:val="IntenseQuoteChar"/>
    <w:uiPriority w:val="30"/>
    <w:qFormat/>
    <w:rsid w:val="007A4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A1F"/>
    <w:rPr>
      <w:i/>
      <w:iCs/>
      <w:color w:val="0F4761" w:themeColor="accent1" w:themeShade="BF"/>
    </w:rPr>
  </w:style>
  <w:style w:type="character" w:styleId="IntenseReference">
    <w:name w:val="Intense Reference"/>
    <w:basedOn w:val="DefaultParagraphFont"/>
    <w:uiPriority w:val="32"/>
    <w:qFormat/>
    <w:rsid w:val="007A4A1F"/>
    <w:rPr>
      <w:b/>
      <w:bCs/>
      <w:smallCaps/>
      <w:color w:val="0F4761" w:themeColor="accent1" w:themeShade="BF"/>
      <w:spacing w:val="5"/>
    </w:rPr>
  </w:style>
  <w:style w:type="character" w:styleId="Hyperlink">
    <w:name w:val="Hyperlink"/>
    <w:basedOn w:val="DefaultParagraphFont"/>
    <w:uiPriority w:val="99"/>
    <w:unhideWhenUsed/>
    <w:rsid w:val="007A4A1F"/>
    <w:rPr>
      <w:color w:val="467886" w:themeColor="hyperlink"/>
      <w:u w:val="single"/>
    </w:rPr>
  </w:style>
  <w:style w:type="character" w:styleId="UnresolvedMention">
    <w:name w:val="Unresolved Mention"/>
    <w:basedOn w:val="DefaultParagraphFont"/>
    <w:uiPriority w:val="99"/>
    <w:semiHidden/>
    <w:unhideWhenUsed/>
    <w:rsid w:val="007A4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921814">
      <w:bodyDiv w:val="1"/>
      <w:marLeft w:val="0"/>
      <w:marRight w:val="0"/>
      <w:marTop w:val="0"/>
      <w:marBottom w:val="0"/>
      <w:divBdr>
        <w:top w:val="none" w:sz="0" w:space="0" w:color="auto"/>
        <w:left w:val="none" w:sz="0" w:space="0" w:color="auto"/>
        <w:bottom w:val="none" w:sz="0" w:space="0" w:color="auto"/>
        <w:right w:val="none" w:sz="0" w:space="0" w:color="auto"/>
      </w:divBdr>
    </w:div>
    <w:div w:id="9774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2533</Characters>
  <Application>Microsoft Office Word</Application>
  <DocSecurity>0</DocSecurity>
  <Lines>79</Lines>
  <Paragraphs>52</Paragraphs>
  <ScaleCrop>false</ScaleCrop>
  <Company>The Ohio State University</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dc:creator>
  <cp:keywords/>
  <dc:description/>
  <cp:lastModifiedBy>Steele, Rachel</cp:lastModifiedBy>
  <cp:revision>2</cp:revision>
  <dcterms:created xsi:type="dcterms:W3CDTF">2024-08-23T19:36:00Z</dcterms:created>
  <dcterms:modified xsi:type="dcterms:W3CDTF">2024-08-23T19:36:00Z</dcterms:modified>
</cp:coreProperties>
</file>